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E107FE" w:rsidP="2A31884F" w:rsidRDefault="00E107FE" w14:paraId="57152D68" wp14:textId="14358D77">
      <w:pPr>
        <w:pStyle w:val="Normal"/>
        <w:suppressLineNumbers w:val="0"/>
        <w:spacing w:before="0" w:beforeAutospacing="off" w:after="0" w:afterAutospacing="off" w:line="240" w:lineRule="auto"/>
        <w:ind w:left="1" w:right="0" w:hanging="3"/>
        <w:jc w:val="center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242121"/>
          <w:sz w:val="40"/>
          <w:szCs w:val="40"/>
          <w:lang w:val="es-MX"/>
        </w:rPr>
      </w:pPr>
      <w:r w:rsidRPr="2A31884F" w:rsidR="025E5AD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36"/>
          <w:szCs w:val="36"/>
        </w:rPr>
        <w:t>The</w:t>
      </w:r>
      <w:r w:rsidRPr="2A31884F" w:rsidR="025E5AD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36"/>
          <w:szCs w:val="36"/>
        </w:rPr>
        <w:t xml:space="preserve"> </w:t>
      </w:r>
      <w:r w:rsidRPr="2A31884F" w:rsidR="025E5AD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36"/>
          <w:szCs w:val="36"/>
        </w:rPr>
        <w:t>Macallan</w:t>
      </w:r>
      <w:r w:rsidRPr="2A31884F" w:rsidR="025E5AD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36"/>
          <w:szCs w:val="36"/>
        </w:rPr>
        <w:t xml:space="preserve"> Celebra 200 Años de Excelencia en el Día del </w:t>
      </w:r>
      <w:r w:rsidRPr="2A31884F" w:rsidR="025E5AD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36"/>
          <w:szCs w:val="36"/>
        </w:rPr>
        <w:t>Whisky</w:t>
      </w:r>
    </w:p>
    <w:p w:rsidR="2A31884F" w:rsidP="2A31884F" w:rsidRDefault="2A31884F" w14:paraId="6CC36542" w14:textId="0112B7F1">
      <w:pPr>
        <w:pStyle w:val="Normal"/>
        <w:suppressLineNumbers w:val="0"/>
        <w:bidi w:val="0"/>
        <w:spacing w:before="0" w:beforeAutospacing="off" w:after="0" w:afterAutospacing="off" w:line="240" w:lineRule="auto"/>
        <w:ind w:left="1" w:right="0" w:hanging="3"/>
        <w:jc w:val="center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34"/>
          <w:szCs w:val="34"/>
        </w:rPr>
      </w:pPr>
    </w:p>
    <w:p w:rsidR="20420587" w:rsidP="2A31884F" w:rsidRDefault="20420587" w14:paraId="556DEFDD" w14:textId="7D5E935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hAnsi="Garamond" w:eastAsia="Garamond" w:cs="Garamond"/>
          <w:color w:val="242121"/>
        </w:rPr>
      </w:pPr>
      <w:r w:rsidRPr="2A31884F" w:rsidR="20420587">
        <w:rPr>
          <w:rFonts w:ascii="Garamond" w:hAnsi="Garamond" w:eastAsia="Garamond" w:cs="Garamond"/>
          <w:color w:val="242121"/>
        </w:rPr>
        <w:t xml:space="preserve">Fundada en 1824, la destilería conmemora dos siglos de excelencia y artesanía </w:t>
      </w:r>
      <w:r w:rsidRPr="2A31884F" w:rsidR="1644A9E7">
        <w:rPr>
          <w:rFonts w:ascii="Garamond" w:hAnsi="Garamond" w:eastAsia="Garamond" w:cs="Garamond"/>
          <w:color w:val="242121"/>
        </w:rPr>
        <w:t>con eventos</w:t>
      </w:r>
      <w:r w:rsidRPr="2A31884F" w:rsidR="20420587">
        <w:rPr>
          <w:rFonts w:ascii="Garamond" w:hAnsi="Garamond" w:eastAsia="Garamond" w:cs="Garamond"/>
          <w:color w:val="242121"/>
        </w:rPr>
        <w:t xml:space="preserve"> exclusivos, destacando su legado y los sabores únicos que la han convertido en un ícono del </w:t>
      </w:r>
      <w:r w:rsidRPr="2A31884F" w:rsidR="20420587">
        <w:rPr>
          <w:rFonts w:ascii="Garamond" w:hAnsi="Garamond" w:eastAsia="Garamond" w:cs="Garamond"/>
          <w:color w:val="242121"/>
        </w:rPr>
        <w:t>whisky</w:t>
      </w:r>
      <w:r w:rsidRPr="2A31884F" w:rsidR="20420587">
        <w:rPr>
          <w:rFonts w:ascii="Garamond" w:hAnsi="Garamond" w:eastAsia="Garamond" w:cs="Garamond"/>
          <w:color w:val="242121"/>
        </w:rPr>
        <w:t xml:space="preserve"> escocés.</w:t>
      </w:r>
    </w:p>
    <w:p xmlns:wp14="http://schemas.microsoft.com/office/word/2010/wordml" w:rsidR="00E107FE" w:rsidP="15574C13" w:rsidRDefault="00E107FE" w14:paraId="0A37501D" wp14:textId="4AE78948">
      <w:pPr>
        <w:pStyle w:val="Normal"/>
        <w:ind w:left="0" w:hanging="2"/>
        <w:jc w:val="both"/>
        <w:rPr>
          <w:rFonts w:ascii="Garamond" w:hAnsi="Garamond" w:eastAsia="Garamond" w:cs="Garamond"/>
          <w:noProof w:val="0"/>
          <w:color w:val="242121"/>
          <w:highlight w:val="yellow"/>
          <w:lang w:val="es-MX"/>
        </w:rPr>
      </w:pPr>
    </w:p>
    <w:p w:rsidR="2A31884F" w:rsidP="2A31884F" w:rsidRDefault="2A31884F" w14:paraId="49A4C08C" w14:textId="39F53721">
      <w:pPr>
        <w:pStyle w:val="Normal"/>
        <w:ind w:left="0" w:hanging="2"/>
        <w:jc w:val="both"/>
        <w:rPr>
          <w:rFonts w:ascii="Garamond" w:hAnsi="Garamond" w:eastAsia="Garamond" w:cs="Garamond"/>
          <w:noProof w:val="0"/>
          <w:color w:val="242121"/>
          <w:highlight w:val="yellow"/>
          <w:lang w:val="es-MX"/>
        </w:rPr>
      </w:pPr>
    </w:p>
    <w:p w:rsidR="79ED9C52" w:rsidP="2A31884F" w:rsidRDefault="79ED9C52" w14:paraId="2CF383FB" w14:textId="1E40B257">
      <w:pPr>
        <w:pStyle w:val="Normal"/>
        <w:suppressLineNumbers w:val="0"/>
        <w:spacing w:before="0" w:beforeAutospacing="off" w:after="200" w:afterAutospacing="off" w:line="276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2A31884F" w:rsidR="79ED9C52">
        <w:rPr>
          <w:rFonts w:ascii="Garamond" w:hAnsi="Garamond" w:eastAsia="Garamond" w:cs="Garamond"/>
          <w:b w:val="1"/>
          <w:bCs w:val="1"/>
          <w:color w:val="242121"/>
        </w:rPr>
        <w:t>Ciudad de México,</w:t>
      </w:r>
      <w:r w:rsidRPr="2A31884F" w:rsidR="00005E30">
        <w:rPr>
          <w:rFonts w:ascii="Garamond" w:hAnsi="Garamond" w:eastAsia="Garamond" w:cs="Garamond"/>
          <w:b w:val="1"/>
          <w:bCs w:val="1"/>
          <w:color w:val="242121"/>
        </w:rPr>
        <w:t xml:space="preserve"> </w:t>
      </w:r>
      <w:r w:rsidRPr="2A31884F" w:rsidR="475091AD">
        <w:rPr>
          <w:rFonts w:ascii="Garamond" w:hAnsi="Garamond" w:eastAsia="Garamond" w:cs="Garamond"/>
          <w:b w:val="1"/>
          <w:bCs w:val="1"/>
          <w:color w:val="242121"/>
        </w:rPr>
        <w:t>30</w:t>
      </w:r>
      <w:r w:rsidRPr="2A31884F" w:rsidR="7809AAEC">
        <w:rPr>
          <w:rFonts w:ascii="Garamond" w:hAnsi="Garamond" w:eastAsia="Garamond" w:cs="Garamond"/>
          <w:b w:val="1"/>
          <w:bCs w:val="1"/>
          <w:color w:val="242121"/>
        </w:rPr>
        <w:t xml:space="preserve"> mayo </w:t>
      </w:r>
      <w:r w:rsidRPr="2A31884F" w:rsidR="00005E30">
        <w:rPr>
          <w:rFonts w:ascii="Garamond" w:hAnsi="Garamond" w:eastAsia="Garamond" w:cs="Garamond"/>
          <w:b w:val="1"/>
          <w:bCs w:val="1"/>
          <w:color w:val="242121"/>
        </w:rPr>
        <w:t>de 202</w:t>
      </w:r>
      <w:r w:rsidRPr="2A31884F" w:rsidR="130153BE">
        <w:rPr>
          <w:rFonts w:ascii="Garamond" w:hAnsi="Garamond" w:eastAsia="Garamond" w:cs="Garamond"/>
          <w:b w:val="1"/>
          <w:bCs w:val="1"/>
          <w:color w:val="242121"/>
        </w:rPr>
        <w:t>4</w:t>
      </w:r>
      <w:r w:rsidRPr="2A31884F" w:rsidR="00005E30">
        <w:rPr>
          <w:rFonts w:ascii="Garamond" w:hAnsi="Garamond" w:eastAsia="Garamond" w:cs="Garamond"/>
          <w:b w:val="1"/>
          <w:bCs w:val="1"/>
          <w:color w:val="242121"/>
        </w:rPr>
        <w:t xml:space="preserve"> -</w:t>
      </w:r>
      <w:r w:rsidRPr="2A31884F" w:rsidR="00005E30">
        <w:rPr>
          <w:rFonts w:ascii="Garamond" w:hAnsi="Garamond" w:eastAsia="Garamond" w:cs="Garamond"/>
          <w:b w:val="1"/>
          <w:bCs w:val="1"/>
          <w:color w:val="242121"/>
        </w:rPr>
        <w:t xml:space="preserve"> </w:t>
      </w:r>
      <w:r w:rsidRPr="2A31884F" w:rsidR="027020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 xml:space="preserve">Este año, la celebración del Día del </w:t>
      </w:r>
      <w:r w:rsidRPr="2A31884F" w:rsidR="027020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Whisky</w:t>
      </w:r>
      <w:r w:rsidRPr="2A31884F" w:rsidR="027020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 xml:space="preserve"> adquiere un significado especial para los amantes del </w:t>
      </w:r>
      <w:r w:rsidRPr="2A31884F" w:rsidR="027020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whisky</w:t>
      </w:r>
      <w:r w:rsidRPr="2A31884F" w:rsidR="027020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 xml:space="preserve">, ya que </w:t>
      </w:r>
      <w:r w:rsidRPr="2A31884F" w:rsidR="027020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The</w:t>
      </w:r>
      <w:r w:rsidRPr="2A31884F" w:rsidR="027020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 xml:space="preserve"> </w:t>
      </w:r>
      <w:r w:rsidRPr="2A31884F" w:rsidR="027020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Macallan</w:t>
      </w:r>
      <w:r w:rsidRPr="2A31884F" w:rsidR="027020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 xml:space="preserve">, una de las destilerías más prestigiosas del mundo, celebra su 200 aniversario. Fundada en 1824, </w:t>
      </w:r>
      <w:r w:rsidRPr="2A31884F" w:rsidR="027020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The</w:t>
      </w:r>
      <w:r w:rsidRPr="2A31884F" w:rsidR="027020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 xml:space="preserve"> </w:t>
      </w:r>
      <w:r w:rsidRPr="2A31884F" w:rsidR="027020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Macallan</w:t>
      </w:r>
      <w:r w:rsidRPr="2A31884F" w:rsidR="027020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 xml:space="preserve"> ha mantenido una dedicación inquebrantable a la calidad y la artesanía, produciendo whiskies de una complejidad y riqueza inigualables.</w:t>
      </w:r>
    </w:p>
    <w:p w:rsidR="17D6DC5A" w:rsidP="2A31884F" w:rsidRDefault="17D6DC5A" w14:paraId="4F434432" w14:textId="53542385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</w:pPr>
      <w:r w:rsidRPr="2A31884F" w:rsidR="17D6DC5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 xml:space="preserve">Desde sus humildes comienzos en una pequeña granja, </w:t>
      </w:r>
      <w:r w:rsidRPr="2A31884F" w:rsidR="17D6DC5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The</w:t>
      </w:r>
      <w:r w:rsidRPr="2A31884F" w:rsidR="17D6DC5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 xml:space="preserve"> </w:t>
      </w:r>
      <w:r w:rsidRPr="2A31884F" w:rsidR="17D6DC5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Macallan</w:t>
      </w:r>
      <w:r w:rsidRPr="2A31884F" w:rsidR="17D6DC5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 xml:space="preserve"> ha evolucionado hasta convertirse en un referente mundial del </w:t>
      </w:r>
      <w:r w:rsidRPr="2A31884F" w:rsidR="17D6DC5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whisky</w:t>
      </w:r>
      <w:r w:rsidRPr="2A31884F" w:rsidR="17D6DC5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 xml:space="preserve"> de malta. </w:t>
      </w:r>
      <w:bookmarkStart w:name="_Int_VYNHloz6" w:id="1765436395"/>
      <w:r w:rsidRPr="2A31884F" w:rsidR="17D6DC5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Su proceso de elaboración único</w:t>
      </w:r>
      <w:r w:rsidRPr="2A31884F" w:rsidR="67BF254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 xml:space="preserve"> </w:t>
      </w:r>
      <w:r w:rsidRPr="2A31884F" w:rsidR="17D6DC5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contribuye a su distintivo sabor y carácter.</w:t>
      </w:r>
      <w:bookmarkEnd w:id="1765436395"/>
      <w:r w:rsidRPr="2A31884F" w:rsidR="17D6DC5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 xml:space="preserve"> Además, la destilería es famosa por su selección de barricas de roble de alta calidad, que añaden una profundidad y complejidad extraordinarias a sus whiskies.</w:t>
      </w:r>
    </w:p>
    <w:p xmlns:wp14="http://schemas.microsoft.com/office/word/2010/wordml" w:rsidR="00E107FE" w:rsidP="2A31884F" w:rsidRDefault="00E107FE" w14:paraId="3C526AB1" wp14:textId="1AD69413">
      <w:pPr>
        <w:pStyle w:val="Normal"/>
        <w:suppressLineNumbers w:val="0"/>
        <w:spacing w:before="0" w:beforeAutospacing="off" w:after="200" w:afterAutospacing="off" w:line="276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</w:pPr>
      <w:r w:rsidRPr="2A31884F" w:rsidR="0FFD48D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En cada gota</w:t>
      </w:r>
      <w:r w:rsidRPr="2A31884F" w:rsidR="187F66E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 xml:space="preserve"> de The Macallan</w:t>
      </w:r>
      <w:r w:rsidRPr="2A31884F" w:rsidR="0FFD48D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, la riqueza cultural se refleja a través de un color, aroma y sabor únicos</w:t>
      </w:r>
      <w:r w:rsidRPr="2A31884F" w:rsidR="73AC86E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.</w:t>
      </w:r>
      <w:r w:rsidRPr="2A31884F" w:rsidR="68357B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 xml:space="preserve"> </w:t>
      </w:r>
      <w:r w:rsidRPr="2A31884F" w:rsidR="66B9A4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En est</w:t>
      </w:r>
      <w:r w:rsidRPr="2A31884F" w:rsidR="674A290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a</w:t>
      </w:r>
      <w:r w:rsidRPr="2A31884F" w:rsidR="66B9A4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 xml:space="preserve"> </w:t>
      </w:r>
      <w:r w:rsidRPr="2A31884F" w:rsidR="5045011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celebración</w:t>
      </w:r>
      <w:r w:rsidRPr="2A31884F" w:rsidR="66B9A4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 xml:space="preserve"> del </w:t>
      </w:r>
      <w:r w:rsidRPr="2A31884F" w:rsidR="700A598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w</w:t>
      </w:r>
      <w:r w:rsidRPr="2A31884F" w:rsidR="66B9A4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hisky</w:t>
      </w:r>
      <w:r w:rsidRPr="2A31884F" w:rsidR="66B9A4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 xml:space="preserve">, levantamos nuestras copas para honrar dos siglos de excelencia y tradición de </w:t>
      </w:r>
      <w:r w:rsidRPr="2A31884F" w:rsidR="66B9A4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The</w:t>
      </w:r>
      <w:r w:rsidRPr="2A31884F" w:rsidR="66B9A4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 xml:space="preserve"> </w:t>
      </w:r>
      <w:r w:rsidRPr="2A31884F" w:rsidR="66B9A4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Macallan</w:t>
      </w:r>
      <w:r w:rsidRPr="2A31884F" w:rsidR="66B9A4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, y para disfrutar de los sabores únicos que han perfeccionado a lo largo de su historia.</w:t>
      </w:r>
    </w:p>
    <w:p xmlns:wp14="http://schemas.microsoft.com/office/word/2010/wordml" w:rsidR="00E107FE" w:rsidP="2A31884F" w:rsidRDefault="00E107FE" w14:paraId="20A46232" wp14:textId="16DB6875">
      <w:pPr>
        <w:pStyle w:val="Normal"/>
        <w:bidi w:val="0"/>
        <w:spacing w:before="0" w:beforeAutospacing="off" w:after="200" w:afterAutospacing="off" w:line="276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 w:eastAsia="en-US" w:bidi="ar-SA"/>
        </w:rPr>
      </w:pPr>
      <w:r w:rsidRPr="2A31884F" w:rsidR="757F4B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 w:eastAsia="en-US" w:bidi="ar-SA"/>
        </w:rPr>
        <w:t xml:space="preserve">The </w:t>
      </w:r>
      <w:r w:rsidRPr="2A31884F" w:rsidR="757F4B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 w:eastAsia="en-US" w:bidi="ar-SA"/>
        </w:rPr>
        <w:t>Macallan</w:t>
      </w:r>
      <w:r w:rsidRPr="2A31884F" w:rsidR="757F4B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 w:eastAsia="en-US" w:bidi="ar-SA"/>
        </w:rPr>
        <w:t xml:space="preserve"> organizará una serie de eventos exclusivos a lo largo del año para sus entusiastas y coleccionistas, ofreciendo degustaciones y experiencias únicas que permitirán a los asistentes explorar la rica historia y el proceso de elaboración que ha definido a </w:t>
      </w:r>
      <w:r w:rsidRPr="2A31884F" w:rsidR="757F4B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 w:eastAsia="en-US" w:bidi="ar-SA"/>
        </w:rPr>
        <w:t>The</w:t>
      </w:r>
      <w:r w:rsidRPr="2A31884F" w:rsidR="757F4B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 w:eastAsia="en-US" w:bidi="ar-SA"/>
        </w:rPr>
        <w:t xml:space="preserve"> </w:t>
      </w:r>
      <w:r w:rsidRPr="2A31884F" w:rsidR="757F4B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 w:eastAsia="en-US" w:bidi="ar-SA"/>
        </w:rPr>
        <w:t>Macallan</w:t>
      </w:r>
      <w:r w:rsidRPr="2A31884F" w:rsidR="757F4B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 w:eastAsia="en-US" w:bidi="ar-SA"/>
        </w:rPr>
        <w:t xml:space="preserve"> como un ícono del </w:t>
      </w:r>
      <w:r w:rsidRPr="2A31884F" w:rsidR="757F4B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 w:eastAsia="en-US" w:bidi="ar-SA"/>
        </w:rPr>
        <w:t>whisky</w:t>
      </w:r>
      <w:r w:rsidRPr="2A31884F" w:rsidR="757F4B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 w:eastAsia="en-US" w:bidi="ar-SA"/>
        </w:rPr>
        <w:t xml:space="preserve"> escocés.</w:t>
      </w:r>
    </w:p>
    <w:p xmlns:wp14="http://schemas.microsoft.com/office/word/2010/wordml" w:rsidR="00E107FE" w:rsidP="2A31884F" w:rsidRDefault="00E107FE" w14:paraId="049F31CB" wp14:textId="2FD30C9F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</w:pPr>
      <w:r w:rsidRPr="2A31884F" w:rsidR="2EE67CE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Este año, la celebración del Día del Whisky no solo es una oportunidad para disfrutar de un buen trago, sino también para rendir homenaje a 200 años de dedicación y excelencia que The Macallan ha aportado al mundo del whisky.</w:t>
      </w:r>
    </w:p>
    <w:p w:rsidR="15574C13" w:rsidP="2A31884F" w:rsidRDefault="15574C13" w14:paraId="15C22763" w14:textId="602C01A0">
      <w:pPr>
        <w:pStyle w:val="Normal"/>
        <w:suppressLineNumbers w:val="0"/>
        <w:bidi w:val="0"/>
        <w:spacing w:before="0" w:beforeAutospacing="off" w:after="200" w:afterAutospacing="off" w:line="276" w:lineRule="auto"/>
        <w:ind w:left="-2" w:hanging="0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</w:pPr>
    </w:p>
    <w:p w:rsidR="34139042" w:rsidP="15574C13" w:rsidRDefault="34139042" w14:paraId="51CBA9FB" w14:textId="25568E8D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  <w:r w:rsidRPr="15574C13" w:rsidR="3413904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20"/>
          <w:szCs w:val="20"/>
        </w:rPr>
        <w:t>Another</w:t>
      </w:r>
      <w:r w:rsidRPr="15574C13" w:rsidR="3413904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20"/>
          <w:szCs w:val="20"/>
        </w:rPr>
        <w:t xml:space="preserve"> Company </w:t>
      </w:r>
    </w:p>
    <w:p w:rsidR="34139042" w:rsidP="2A31884F" w:rsidRDefault="34139042" w14:paraId="57E398EC" w14:textId="16DEB691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ind w:left="0" w:hanging="2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  <w:r w:rsidRPr="2A31884F" w:rsidR="7D4C92A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Javier Marín</w:t>
      </w:r>
      <w:r w:rsidRPr="2A31884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</w:p>
    <w:p w:rsidR="34139042" w:rsidP="2A31884F" w:rsidRDefault="34139042" w14:paraId="783743EE" w14:textId="7B6BE702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ind w:left="0" w:hanging="2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  <w:r w:rsidRPr="2A31884F" w:rsidR="126E6BA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javier</w:t>
      </w:r>
      <w:hyperlink r:id="R87b37881005548dd">
        <w:r w:rsidRPr="2A31884F" w:rsidR="34139042">
          <w:rPr>
            <w:rStyle w:val="Hipervnculo"/>
            <w:rFonts w:ascii="Garamond" w:hAnsi="Garamond" w:eastAsia="Garamond" w:cs="Garamond"/>
            <w:b w:val="0"/>
            <w:bCs w:val="0"/>
            <w:i w:val="0"/>
            <w:iCs w:val="0"/>
            <w:caps w:val="0"/>
            <w:smallCaps w:val="0"/>
            <w:color w:val="242121"/>
            <w:sz w:val="20"/>
            <w:szCs w:val="20"/>
          </w:rPr>
          <w:t>.</w:t>
        </w:r>
        <w:r w:rsidRPr="2A31884F" w:rsidR="3AE7D81B">
          <w:rPr>
            <w:rStyle w:val="Hipervnculo"/>
            <w:rFonts w:ascii="Garamond" w:hAnsi="Garamond" w:eastAsia="Garamond" w:cs="Garamond"/>
            <w:b w:val="0"/>
            <w:bCs w:val="0"/>
            <w:i w:val="0"/>
            <w:iCs w:val="0"/>
            <w:caps w:val="0"/>
            <w:smallCaps w:val="0"/>
            <w:color w:val="242121"/>
            <w:sz w:val="20"/>
            <w:szCs w:val="20"/>
          </w:rPr>
          <w:t>marin</w:t>
        </w:r>
        <w:r w:rsidRPr="2A31884F" w:rsidR="34139042">
          <w:rPr>
            <w:rStyle w:val="Hipervnculo"/>
            <w:rFonts w:ascii="Garamond" w:hAnsi="Garamond" w:eastAsia="Garamond" w:cs="Garamond"/>
            <w:b w:val="0"/>
            <w:bCs w:val="0"/>
            <w:i w:val="0"/>
            <w:iCs w:val="0"/>
            <w:caps w:val="0"/>
            <w:smallCaps w:val="0"/>
            <w:color w:val="242121"/>
            <w:sz w:val="20"/>
            <w:szCs w:val="20"/>
          </w:rPr>
          <w:t>@another.co</w:t>
        </w:r>
      </w:hyperlink>
    </w:p>
    <w:p w:rsidR="15574C13" w:rsidP="15574C13" w:rsidRDefault="15574C13" w14:paraId="7AA0884B" w14:textId="5C0411CC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ind w:left="0" w:hanging="2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</w:p>
    <w:p w:rsidR="34139042" w:rsidP="15574C13" w:rsidRDefault="34139042" w14:paraId="61756E85" w14:textId="6885D24F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  <w:r w:rsidRPr="15574C13" w:rsidR="3413904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20"/>
          <w:szCs w:val="20"/>
        </w:rPr>
        <w:t xml:space="preserve">Sobre </w:t>
      </w:r>
      <w:r w:rsidRPr="15574C13" w:rsidR="3413904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20"/>
          <w:szCs w:val="20"/>
        </w:rPr>
        <w:t>The</w:t>
      </w:r>
      <w:r w:rsidRPr="15574C13" w:rsidR="3413904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15574C13" w:rsidR="3413904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20"/>
          <w:szCs w:val="20"/>
        </w:rPr>
        <w:t>Macallan</w:t>
      </w:r>
    </w:p>
    <w:p w:rsidR="15574C13" w:rsidP="15574C13" w:rsidRDefault="15574C13" w14:paraId="063BFF3A" w14:textId="467A91D2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</w:p>
    <w:p w:rsidR="34139042" w:rsidP="15574C13" w:rsidRDefault="34139042" w14:paraId="32A1DB61" w14:textId="16AC5832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  <w:hyperlink r:id="R9d0bf54ecb2745fa">
        <w:r w:rsidRPr="15574C13" w:rsidR="34139042">
          <w:rPr>
            <w:rStyle w:val="Hipervnculo"/>
            <w:rFonts w:ascii="Garamond" w:hAnsi="Garamond" w:eastAsia="Garamond" w:cs="Garamond"/>
            <w:b w:val="0"/>
            <w:bCs w:val="0"/>
            <w:i w:val="0"/>
            <w:iCs w:val="0"/>
            <w:caps w:val="0"/>
            <w:smallCaps w:val="0"/>
            <w:strike w:val="0"/>
            <w:dstrike w:val="0"/>
            <w:color w:val="943634" w:themeColor="accent2" w:themeTint="FF" w:themeShade="BF"/>
            <w:sz w:val="20"/>
            <w:szCs w:val="20"/>
            <w:u w:val="single"/>
          </w:rPr>
          <w:t>The Macallan</w:t>
        </w:r>
      </w:hyperlink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943634" w:themeColor="accent2" w:themeTint="FF" w:themeShade="BF"/>
          <w:sz w:val="20"/>
          <w:szCs w:val="20"/>
        </w:rPr>
        <w:t xml:space="preserve"> 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es conocid</w:t>
      </w:r>
      <w:r w:rsidRPr="15574C13" w:rsidR="6D61CF1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o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mundialmente por sus extraordinarios whiskies de malta. Han pasado dos siglos desde que Alexander Reid, fundador de la marca, destilara el primer lote de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whisk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y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en sus curiosamente pequeños alambiques en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Speysid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e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, Escocia, en 1824, comenzando así el extraordinario legado de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whisk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y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escocés de malta.</w:t>
      </w:r>
    </w:p>
    <w:p w:rsidR="15574C13" w:rsidP="15574C13" w:rsidRDefault="15574C13" w14:paraId="5FBF2D0B" w14:textId="032E3106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</w:p>
    <w:p w:rsidR="34139042" w:rsidP="2A31884F" w:rsidRDefault="34139042" w14:paraId="056886B2" w14:textId="6B65EC71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  <w:r w:rsidRPr="2A31884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La seña de identidad de </w:t>
      </w:r>
      <w:r w:rsidRPr="2A31884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The</w:t>
      </w:r>
      <w:r w:rsidRPr="2A31884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2A31884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Macallan</w:t>
      </w:r>
      <w:r w:rsidRPr="2A31884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es una obsesión por la calidad y la artesanía. </w:t>
      </w:r>
      <w:r w:rsidRPr="2A31884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La personalidad única y la calidad excepcional de cada whisky se deben al uso de unas excepcionales barricas de roble que previamente han albergado jerez para conseguir un color natural gracias a una maestría única.</w:t>
      </w:r>
      <w:r w:rsidRPr="2A31884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2A31884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The</w:t>
      </w:r>
      <w:r w:rsidRPr="2A31884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2A31884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Macallan</w:t>
      </w:r>
      <w:r w:rsidRPr="2A31884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2A31884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Distillery</w:t>
      </w:r>
      <w:r w:rsidRPr="2A31884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, que se encuentra en una finca de casi 200 hectáreas, ha sido diseñada por arquitectos de talla internacional inspirándose en las características colinas escocesas que rodean el espacio.</w:t>
      </w:r>
    </w:p>
    <w:p w:rsidR="15574C13" w:rsidP="15574C13" w:rsidRDefault="15574C13" w14:paraId="55D2267B" w14:textId="2303C6F1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</w:p>
    <w:p w:rsidR="34139042" w:rsidP="15574C13" w:rsidRDefault="34139042" w14:paraId="62A75DF3" w14:textId="14B633C5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Los 200 años de historia han sido solo el prólogo de nuevos capítulos en la historia de la marca. Y es que es un viaje por el tiempo. Porque 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The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Macallan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tiene 200 años de juventud.</w:t>
      </w:r>
    </w:p>
    <w:p w:rsidR="15574C13" w:rsidP="15574C13" w:rsidRDefault="15574C13" w14:paraId="0ABA8A0A" w14:textId="1C5C6E0C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</w:p>
    <w:p w:rsidR="34139042" w:rsidP="15574C13" w:rsidRDefault="34139042" w14:paraId="3E645090" w14:textId="1F728BD1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Elaborado con la máxima dedicación. Consuma 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The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Macallan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con responsabilidad.</w:t>
      </w:r>
    </w:p>
    <w:p w:rsidR="34139042" w:rsidP="15574C13" w:rsidRDefault="34139042" w14:paraId="10445351" w14:textId="10C96A9F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</w:p>
    <w:p w:rsidR="34139042" w:rsidP="15574C13" w:rsidRDefault="34139042" w14:paraId="6641F284" w14:textId="6291AFB0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Si desea más información, visite </w:t>
      </w:r>
      <w:hyperlink r:id="Raeebcb5a645c430e">
        <w:r w:rsidRPr="15574C13" w:rsidR="34139042">
          <w:rPr>
            <w:rStyle w:val="Hipervnculo"/>
            <w:rFonts w:ascii="Garamond" w:hAnsi="Garamond" w:eastAsia="Garamond" w:cs="Garamond"/>
            <w:b w:val="0"/>
            <w:bCs w:val="0"/>
            <w:i w:val="0"/>
            <w:iCs w:val="0"/>
            <w:caps w:val="0"/>
            <w:smallCaps w:val="0"/>
            <w:strike w:val="0"/>
            <w:dstrike w:val="0"/>
            <w:color w:val="943634" w:themeColor="accent2" w:themeTint="FF" w:themeShade="BF"/>
            <w:sz w:val="20"/>
            <w:szCs w:val="20"/>
          </w:rPr>
          <w:t>www.themacallan.com</w:t>
        </w:r>
      </w:hyperlink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943634" w:themeColor="accent2" w:themeTint="FF" w:themeShade="BF"/>
          <w:sz w:val="20"/>
          <w:szCs w:val="20"/>
        </w:rPr>
        <w:t xml:space="preserve"> 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y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únase a la 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The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Macallan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Society</w:t>
      </w:r>
      <w:r w:rsidRPr="15574C13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para conocer las historias detrás de nuestros whiskies.</w:t>
      </w:r>
    </w:p>
    <w:p w:rsidR="15574C13" w:rsidP="15574C13" w:rsidRDefault="15574C13" w14:paraId="46EA9BAE" w14:textId="73E6E7CD">
      <w:pPr>
        <w:pStyle w:val="Normal"/>
        <w:ind w:left="0" w:hanging="2"/>
        <w:jc w:val="both"/>
        <w:rPr>
          <w:rFonts w:ascii="Garamond" w:hAnsi="Garamond" w:eastAsia="Garamond" w:cs="Garamond"/>
          <w:color w:val="292828"/>
          <w:sz w:val="20"/>
          <w:szCs w:val="20"/>
        </w:rPr>
      </w:pPr>
    </w:p>
    <w:sectPr w:rsidR="00E107FE">
      <w:headerReference w:type="even" r:id="rId10"/>
      <w:headerReference w:type="default" r:id="rId11"/>
      <w:footerReference w:type="default" r:id="rId12"/>
      <w:pgSz w:w="12240" w:h="15840" w:orient="portrait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05E30" w:rsidRDefault="00005E30" w14:paraId="3461D779" wp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005E30" w:rsidRDefault="00005E30" w14:paraId="3CF2D8B6" wp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107FE" w:rsidP="2A31884F" w:rsidRDefault="00005E30" w14:paraId="1513327B" wp14:textId="3E744CB8">
    <w:pP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Arial" w:hAnsi="Arial" w:eastAsia="Arial" w:cs="Arial"/>
        <w:sz w:val="18"/>
        <w:szCs w:val="18"/>
      </w:rPr>
    </w:pPr>
    <w:r w:rsidRPr="2A31884F">
      <w:rPr>
        <w:rFonts w:ascii="Arial" w:hAnsi="Arial" w:eastAsia="Arial" w:cs="Arial"/>
        <w:color w:val="000000" w:themeColor="text1" w:themeTint="FF" w:themeShade="FF"/>
        <w:sz w:val="18"/>
        <w:szCs w:val="18"/>
      </w:rPr>
      <w:fldChar w:fldCharType="begin"/>
    </w:r>
    <w:r w:rsidRPr="2A31884F">
      <w:rPr>
        <w:rFonts w:ascii="Arial" w:hAnsi="Arial" w:eastAsia="Arial" w:cs="Arial"/>
        <w:color w:val="000000" w:themeColor="text1" w:themeTint="FF" w:themeShade="FF"/>
        <w:sz w:val="18"/>
        <w:szCs w:val="18"/>
      </w:rPr>
      <w:instrText xml:space="preserve">PAGE</w:instrText>
    </w:r>
    <w:r w:rsidRPr="2A31884F">
      <w:rPr>
        <w:rFonts w:ascii="Arial" w:hAnsi="Arial" w:eastAsia="Arial" w:cs="Arial"/>
        <w:color w:val="000000" w:themeColor="text1" w:themeTint="FF" w:themeShade="FF"/>
        <w:sz w:val="18"/>
        <w:szCs w:val="18"/>
      </w:rPr>
      <w:fldChar w:fldCharType="separate"/>
    </w:r>
    <w:r w:rsidRPr="2A31884F">
      <w:rPr>
        <w:rFonts w:ascii="Arial" w:hAnsi="Arial" w:eastAsia="Arial" w:cs="Arial"/>
        <w:color w:val="000000" w:themeColor="text1" w:themeTint="FF" w:themeShade="FF"/>
        <w:sz w:val="18"/>
        <w:szCs w:val="18"/>
      </w:rPr>
      <w:fldChar w:fldCharType="end"/>
    </w:r>
    <w:r w:rsidRPr="2A31884F" w:rsidR="2A31884F">
      <w:rPr>
        <w:rFonts w:ascii="Arial" w:hAnsi="Arial" w:eastAsia="Arial" w:cs="Arial"/>
        <w:color w:val="000000" w:themeColor="text1" w:themeTint="FF" w:themeShade="FF"/>
        <w:sz w:val="18"/>
        <w:szCs w:val="18"/>
      </w:rPr>
      <w:t>/</w:t>
    </w:r>
    <w:r w:rsidRPr="2A31884F" w:rsidR="2A31884F">
      <w:rPr>
        <w:rFonts w:ascii="Arial" w:hAnsi="Arial" w:eastAsia="Arial" w:cs="Arial"/>
        <w:color w:val="000000" w:themeColor="text1" w:themeTint="FF" w:themeShade="FF"/>
        <w:sz w:val="18"/>
        <w:szCs w:val="18"/>
      </w:rPr>
      <w:t>2</w:t>
    </w:r>
  </w:p>
  <w:p w:rsidR="2A31884F" w:rsidP="2A31884F" w:rsidRDefault="2A31884F" w14:paraId="2B283146" w14:textId="6B410340">
    <w:pPr>
      <w:pStyle w:val="Normal"/>
      <w:tabs>
        <w:tab w:val="center" w:leader="none" w:pos="4153"/>
        <w:tab w:val="right" w:leader="none" w:pos="8306"/>
      </w:tabs>
      <w:spacing w:line="240" w:lineRule="auto"/>
      <w:ind w:left="0" w:hanging="2"/>
      <w:jc w:val="right"/>
      <w:rPr>
        <w:rFonts w:ascii="Arial" w:hAnsi="Arial" w:eastAsia="Arial" w:cs="Arial"/>
        <w:color w:val="000000" w:themeColor="text1" w:themeTint="FF" w:themeShade="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05E30" w:rsidRDefault="00005E30" w14:paraId="5997CC1D" wp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005E30" w:rsidRDefault="00005E30" w14:paraId="110FFD37" wp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107FE" w:rsidP="15574C13" w:rsidRDefault="00005E30" w14:paraId="3D80FEF8" wp14:textId="77777777">
    <w:pP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 w:rsidRPr="15574C13" w:rsidR="15574C13">
      <w:rPr>
        <w:color w:val="000000" w:themeColor="text1" w:themeTint="FF" w:themeShade="FF"/>
      </w:rPr>
      <w:t xml:space="preserve">[Type </w:t>
    </w:r>
    <w:r w:rsidRPr="15574C13" w:rsidR="15574C13">
      <w:rPr>
        <w:color w:val="000000" w:themeColor="text1" w:themeTint="FF" w:themeShade="FF"/>
      </w:rPr>
      <w:t>text]</w:t>
    </w:r>
    <w:r>
      <w:tab/>
    </w:r>
    <w:r w:rsidRPr="15574C13" w:rsidR="15574C13">
      <w:rPr>
        <w:color w:val="000000" w:themeColor="text1" w:themeTint="FF" w:themeShade="FF"/>
      </w:rPr>
      <w:t xml:space="preserve">[Type </w:t>
    </w:r>
    <w:r w:rsidRPr="15574C13" w:rsidR="15574C13">
      <w:rPr>
        <w:color w:val="000000" w:themeColor="text1" w:themeTint="FF" w:themeShade="FF"/>
      </w:rPr>
      <w:t>text]</w:t>
    </w:r>
    <w:r>
      <w:tab/>
    </w:r>
    <w:r w:rsidRPr="15574C13" w:rsidR="15574C13">
      <w:rPr>
        <w:color w:val="000000" w:themeColor="text1" w:themeTint="FF" w:themeShade="FF"/>
      </w:rPr>
      <w:t>[Type text]</w:t>
    </w:r>
  </w:p>
  <w:p xmlns:wp14="http://schemas.microsoft.com/office/word/2010/wordml" w:rsidR="00E107FE" w:rsidP="15574C13" w:rsidRDefault="00005E30" w14:paraId="6111A5AB" wp14:textId="77777777">
    <w:pPr>
      <w:pBdr>
        <w:between w:val="single" w:color="4F81BD" w:sz="4" w:space="1"/>
      </w:pBdr>
      <w:tabs>
        <w:tab w:val="center" w:pos="4153"/>
        <w:tab w:val="right" w:pos="8306"/>
      </w:tabs>
      <w:spacing w:line="276" w:lineRule="auto"/>
      <w:ind w:left="0" w:hanging="2"/>
      <w:jc w:val="center"/>
      <w:rPr>
        <w:color w:val="000000"/>
      </w:rPr>
    </w:pPr>
    <w:r w:rsidRPr="15574C13" w:rsidR="15574C13">
      <w:rPr>
        <w:color w:val="000000" w:themeColor="text1" w:themeTint="FF" w:themeShade="FF"/>
      </w:rPr>
      <w:t>[Type the document title]</w:t>
    </w:r>
  </w:p>
  <w:p xmlns:wp14="http://schemas.microsoft.com/office/word/2010/wordml" w:rsidR="00E107FE" w:rsidP="15574C13" w:rsidRDefault="00005E30" w14:paraId="5D71B29C" wp14:textId="77777777">
    <w:pPr>
      <w:pBdr>
        <w:between w:val="single" w:color="4F81BD" w:sz="4" w:space="1"/>
      </w:pBdr>
      <w:tabs>
        <w:tab w:val="center" w:pos="4153"/>
        <w:tab w:val="right" w:pos="8306"/>
      </w:tabs>
      <w:spacing w:line="276" w:lineRule="auto"/>
      <w:ind w:left="0" w:hanging="2"/>
      <w:jc w:val="center"/>
      <w:rPr>
        <w:color w:val="000000"/>
      </w:rPr>
    </w:pPr>
    <w:r w:rsidRPr="15574C13" w:rsidR="15574C13">
      <w:rPr>
        <w:color w:val="000000" w:themeColor="text1" w:themeTint="FF" w:themeShade="FF"/>
      </w:rPr>
      <w:t>[Type the date]</w:t>
    </w:r>
  </w:p>
  <w:p xmlns:wp14="http://schemas.microsoft.com/office/word/2010/wordml" w:rsidR="00E107FE" w:rsidP="15574C13" w:rsidRDefault="00E107FE" w14:paraId="6B699379" wp14:textId="77777777">
    <w:pP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E107FE" w:rsidP="15574C13" w:rsidRDefault="00E107FE" w14:paraId="0562CB0E" wp14:textId="7D7DD534">
    <w:pPr>
      <w:pStyle w:val="Normal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-2" w:hanging="0"/>
    </w:pPr>
  </w:p>
  <w:p xmlns:wp14="http://schemas.microsoft.com/office/word/2010/wordml" w:rsidR="00E107FE" w:rsidP="15574C13" w:rsidRDefault="00E107FE" w14:paraId="34CE0A41" wp14:textId="77777777">
    <w:pP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jc w:val="right"/>
      <w:rPr>
        <w:rFonts w:ascii="Helvetica Neue" w:hAnsi="Helvetica Neue" w:eastAsia="Helvetica Neue" w:cs="Helvetica Neue"/>
        <w:color w:val="000000"/>
        <w:sz w:val="20"/>
        <w:szCs w:val="20"/>
      </w:rPr>
    </w:pPr>
  </w:p>
  <w:p xmlns:wp14="http://schemas.microsoft.com/office/word/2010/wordml" w:rsidR="00E107FE" w:rsidP="15574C13" w:rsidRDefault="00E107FE" w14:paraId="2946DB82" wp14:textId="2568F799">
    <w:pPr>
      <w:pStyle w:val="Normal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153"/>
        <w:tab w:val="right" w:pos="8306"/>
      </w:tabs>
      <w:spacing w:line="240" w:lineRule="auto"/>
      <w:ind w:left="0" w:hanging="2"/>
      <w:jc w:val="center"/>
    </w:pPr>
    <w:r w:rsidR="15574C13">
      <w:drawing>
        <wp:inline xmlns:wp14="http://schemas.microsoft.com/office/word/2010/wordprocessingDrawing" wp14:editId="4CABD89A" wp14:anchorId="217806FD">
          <wp:extent cx="2221997" cy="1188722"/>
          <wp:effectExtent l="0" t="0" r="0" b="0"/>
          <wp:docPr id="33463512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7a18a728b60493d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221997" cy="118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Sr2tKPUg6cavjj" int2:id="p0SWSZA3">
      <int2:state int2:type="AugLoop_Text_Critique" int2:value="Rejected"/>
    </int2:textHash>
    <int2:textHash int2:hashCode="INxrElR4TUS6Gg" int2:id="Xut20tY9">
      <int2:state int2:type="AugLoop_Text_Critique" int2:value="Rejected"/>
    </int2:textHash>
    <int2:textHash int2:hashCode="/gW83NxJKAEnga" int2:id="2Tgbfskp">
      <int2:state int2:type="AugLoop_Text_Critique" int2:value="Rejected"/>
    </int2:textHash>
    <int2:textHash int2:hashCode="Zcu0A6dzxxDAZr" int2:id="OUZlFwnM">
      <int2:state int2:type="AugLoop_Text_Critique" int2:value="Rejected"/>
    </int2:textHash>
    <int2:textHash int2:hashCode="3gT6Din5s14kkF" int2:id="lCSxmi5z">
      <int2:state int2:type="AugLoop_Text_Critique" int2:value="Rejected"/>
    </int2:textHash>
    <int2:textHash int2:hashCode="t8j/uPvGfBcTKO" int2:id="E8SFj2jD">
      <int2:state int2:type="AugLoop_Text_Critique" int2:value="Rejected"/>
    </int2:textHash>
    <int2:textHash int2:hashCode="gbzMPgW4ejlNv8" int2:id="Xk4PyWGF">
      <int2:state int2:type="AugLoop_Text_Critique" int2:value="Rejected"/>
    </int2:textHash>
    <int2:textHash int2:hashCode="tZ/oWPfB0RGr5q" int2:id="V5npLo4f">
      <int2:state int2:type="AugLoop_Text_Critique" int2:value="Rejected"/>
    </int2:textHash>
    <int2:textHash int2:hashCode="e4J3u4ktmjKhXK" int2:id="NAC1pM1E">
      <int2:state int2:type="AugLoop_Text_Critique" int2:value="Rejected"/>
    </int2:textHash>
    <int2:textHash int2:hashCode="Y/TGm7pRjErV4h" int2:id="7mR2KisX">
      <int2:state int2:type="AugLoop_Text_Critique" int2:value="Rejected"/>
    </int2:textHash>
    <int2:textHash int2:hashCode="3ww6z5s9+PXMmv" int2:id="9Zfjwg2F">
      <int2:state int2:type="AugLoop_Text_Critique" int2:value="Rejected"/>
    </int2:textHash>
    <int2:textHash int2:hashCode="AN4+xuFhkQXwZp" int2:id="ix6RZGJI">
      <int2:state int2:type="AugLoop_Text_Critique" int2:value="Rejected"/>
    </int2:textHash>
    <int2:textHash int2:hashCode="J6Zg/HUEaRpf93" int2:id="N88T87UX">
      <int2:state int2:type="AugLoop_Text_Critique" int2:value="Rejected"/>
    </int2:textHash>
    <int2:textHash int2:hashCode="jFn34C2HcWap1Z" int2:id="Vuy9Plif">
      <int2:state int2:type="AugLoop_Text_Critique" int2:value="Rejected"/>
    </int2:textHash>
    <int2:textHash int2:hashCode="faM/SXQHcr1MDy" int2:id="xdTCWOGV">
      <int2:state int2:type="AugLoop_Text_Critique" int2:value="Rejected"/>
    </int2:textHash>
    <int2:textHash int2:hashCode="u8zfLvsztS5snQ" int2:id="pqYhg6Xm">
      <int2:state int2:type="AugLoop_Text_Critique" int2:value="Rejected"/>
    </int2:textHash>
    <int2:textHash int2:hashCode="RNR2J08eUL75Cb" int2:id="flyVLMRX">
      <int2:state int2:type="AugLoop_Text_Critique" int2:value="Rejected"/>
    </int2:textHash>
    <int2:textHash int2:hashCode="2z1AWxBnWZjAMC" int2:id="GegsSEw8">
      <int2:state int2:type="AugLoop_Text_Critique" int2:value="Rejected"/>
    </int2:textHash>
    <int2:textHash int2:hashCode="G+KkTLU93pA76E" int2:id="tulGuX9l">
      <int2:state int2:type="AugLoop_Text_Critique" int2:value="Rejected"/>
    </int2:textHash>
    <int2:bookmark int2:bookmarkName="_Int_VYNHloz6" int2:invalidationBookmarkName="" int2:hashCode="NdDWGhzE8fVV2z" int2:id="D4dPngug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faf51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FE"/>
    <w:rsid w:val="00005E30"/>
    <w:rsid w:val="00630304"/>
    <w:rsid w:val="00E107FE"/>
    <w:rsid w:val="0154D745"/>
    <w:rsid w:val="02271E7D"/>
    <w:rsid w:val="022793F4"/>
    <w:rsid w:val="025E5AD0"/>
    <w:rsid w:val="0270206F"/>
    <w:rsid w:val="0281B731"/>
    <w:rsid w:val="028B4D7E"/>
    <w:rsid w:val="02A6F9FE"/>
    <w:rsid w:val="02A81DA3"/>
    <w:rsid w:val="02E14AFA"/>
    <w:rsid w:val="02E83F20"/>
    <w:rsid w:val="031B7975"/>
    <w:rsid w:val="03256CC8"/>
    <w:rsid w:val="034B9871"/>
    <w:rsid w:val="036BC731"/>
    <w:rsid w:val="03925672"/>
    <w:rsid w:val="03F561BE"/>
    <w:rsid w:val="041D6AEC"/>
    <w:rsid w:val="0462DB5E"/>
    <w:rsid w:val="05079792"/>
    <w:rsid w:val="0593D7EC"/>
    <w:rsid w:val="05A708C8"/>
    <w:rsid w:val="05BD85D8"/>
    <w:rsid w:val="05E917FC"/>
    <w:rsid w:val="069FAFEB"/>
    <w:rsid w:val="06B3B143"/>
    <w:rsid w:val="075EBEA1"/>
    <w:rsid w:val="077C14E3"/>
    <w:rsid w:val="087FCD92"/>
    <w:rsid w:val="08847744"/>
    <w:rsid w:val="08D112BD"/>
    <w:rsid w:val="08E746ED"/>
    <w:rsid w:val="0917E544"/>
    <w:rsid w:val="09C1E058"/>
    <w:rsid w:val="0A8F8D95"/>
    <w:rsid w:val="0AAC0C5D"/>
    <w:rsid w:val="0B18EDF9"/>
    <w:rsid w:val="0B3922F1"/>
    <w:rsid w:val="0B5DB0B9"/>
    <w:rsid w:val="0BB19F26"/>
    <w:rsid w:val="0C2D710C"/>
    <w:rsid w:val="0C4F8606"/>
    <w:rsid w:val="0CAB8FB5"/>
    <w:rsid w:val="0CF9811A"/>
    <w:rsid w:val="0D302FCC"/>
    <w:rsid w:val="0D473975"/>
    <w:rsid w:val="0D4DFC10"/>
    <w:rsid w:val="0D5CF6E8"/>
    <w:rsid w:val="0D8FAEBF"/>
    <w:rsid w:val="0E664AB0"/>
    <w:rsid w:val="0EC50B4C"/>
    <w:rsid w:val="0F398EA5"/>
    <w:rsid w:val="0F496FBC"/>
    <w:rsid w:val="0FB66AF0"/>
    <w:rsid w:val="0FCC5088"/>
    <w:rsid w:val="0FE8868F"/>
    <w:rsid w:val="0FFD48D0"/>
    <w:rsid w:val="1013024C"/>
    <w:rsid w:val="102AD527"/>
    <w:rsid w:val="109EFD98"/>
    <w:rsid w:val="10EA804C"/>
    <w:rsid w:val="1179F2DC"/>
    <w:rsid w:val="118DA72C"/>
    <w:rsid w:val="11901AAA"/>
    <w:rsid w:val="11B4AF9D"/>
    <w:rsid w:val="11E07B3D"/>
    <w:rsid w:val="1216DFE0"/>
    <w:rsid w:val="122E9D5E"/>
    <w:rsid w:val="126E6BAB"/>
    <w:rsid w:val="12753046"/>
    <w:rsid w:val="1281107E"/>
    <w:rsid w:val="128D7956"/>
    <w:rsid w:val="130153BE"/>
    <w:rsid w:val="1316E2D9"/>
    <w:rsid w:val="136EA4BD"/>
    <w:rsid w:val="1371DE19"/>
    <w:rsid w:val="13777B3B"/>
    <w:rsid w:val="13829D0F"/>
    <w:rsid w:val="13BABB2D"/>
    <w:rsid w:val="13DC3B66"/>
    <w:rsid w:val="1403B882"/>
    <w:rsid w:val="14C1AA2D"/>
    <w:rsid w:val="15574C13"/>
    <w:rsid w:val="15AFCAF7"/>
    <w:rsid w:val="15C51A18"/>
    <w:rsid w:val="15C992E5"/>
    <w:rsid w:val="160DA774"/>
    <w:rsid w:val="1644A9E7"/>
    <w:rsid w:val="166C3096"/>
    <w:rsid w:val="16EEF749"/>
    <w:rsid w:val="172C5063"/>
    <w:rsid w:val="1760EA79"/>
    <w:rsid w:val="179E86E9"/>
    <w:rsid w:val="17D12B9F"/>
    <w:rsid w:val="17D6DC5A"/>
    <w:rsid w:val="184092FD"/>
    <w:rsid w:val="187F66E2"/>
    <w:rsid w:val="18896363"/>
    <w:rsid w:val="18D729A5"/>
    <w:rsid w:val="196CFC00"/>
    <w:rsid w:val="19DAF97A"/>
    <w:rsid w:val="1AD10C6B"/>
    <w:rsid w:val="1AFC4BFE"/>
    <w:rsid w:val="1B163575"/>
    <w:rsid w:val="1B3E443C"/>
    <w:rsid w:val="1B7F0FAE"/>
    <w:rsid w:val="1BBB8305"/>
    <w:rsid w:val="1C61CDB8"/>
    <w:rsid w:val="1CDCE424"/>
    <w:rsid w:val="1D1AE056"/>
    <w:rsid w:val="1DDE5766"/>
    <w:rsid w:val="1E03147C"/>
    <w:rsid w:val="1E5BE290"/>
    <w:rsid w:val="1E9C5B79"/>
    <w:rsid w:val="1E9D5D7F"/>
    <w:rsid w:val="1EA5F8E2"/>
    <w:rsid w:val="1F4D8307"/>
    <w:rsid w:val="1F697A49"/>
    <w:rsid w:val="1F6A4AFB"/>
    <w:rsid w:val="1F860FDB"/>
    <w:rsid w:val="1FC2D177"/>
    <w:rsid w:val="1FDC3D84"/>
    <w:rsid w:val="202710D8"/>
    <w:rsid w:val="20420587"/>
    <w:rsid w:val="205280D1"/>
    <w:rsid w:val="205470A2"/>
    <w:rsid w:val="21125A7D"/>
    <w:rsid w:val="211CC492"/>
    <w:rsid w:val="21477D04"/>
    <w:rsid w:val="2194C28D"/>
    <w:rsid w:val="21B3BBA0"/>
    <w:rsid w:val="21D1F030"/>
    <w:rsid w:val="223FDF25"/>
    <w:rsid w:val="2268A98D"/>
    <w:rsid w:val="22C3D641"/>
    <w:rsid w:val="22DB28E0"/>
    <w:rsid w:val="230317C6"/>
    <w:rsid w:val="2355AB0A"/>
    <w:rsid w:val="2359E93C"/>
    <w:rsid w:val="238ED861"/>
    <w:rsid w:val="23920F19"/>
    <w:rsid w:val="23AF85EA"/>
    <w:rsid w:val="244AF82A"/>
    <w:rsid w:val="2476F941"/>
    <w:rsid w:val="24B0A8AB"/>
    <w:rsid w:val="24D23405"/>
    <w:rsid w:val="24E71DA1"/>
    <w:rsid w:val="250F5AC1"/>
    <w:rsid w:val="252DDF7A"/>
    <w:rsid w:val="2532ED9F"/>
    <w:rsid w:val="25AE1C1F"/>
    <w:rsid w:val="25EA0AD5"/>
    <w:rsid w:val="2605F44B"/>
    <w:rsid w:val="26B32E26"/>
    <w:rsid w:val="26F2F4AD"/>
    <w:rsid w:val="26F5B7EA"/>
    <w:rsid w:val="270CA090"/>
    <w:rsid w:val="272C506C"/>
    <w:rsid w:val="2742EC39"/>
    <w:rsid w:val="275DE5E6"/>
    <w:rsid w:val="27E8496D"/>
    <w:rsid w:val="28CF08C8"/>
    <w:rsid w:val="28F9B647"/>
    <w:rsid w:val="29695F18"/>
    <w:rsid w:val="29BD4167"/>
    <w:rsid w:val="29FFC865"/>
    <w:rsid w:val="2A2F7D92"/>
    <w:rsid w:val="2A31884F"/>
    <w:rsid w:val="2A49B5A0"/>
    <w:rsid w:val="2A7FF9EF"/>
    <w:rsid w:val="2AA0143C"/>
    <w:rsid w:val="2B417589"/>
    <w:rsid w:val="2B5A9DE6"/>
    <w:rsid w:val="2B9B98C6"/>
    <w:rsid w:val="2CE2D3AE"/>
    <w:rsid w:val="2CF66E47"/>
    <w:rsid w:val="2D6A8D1B"/>
    <w:rsid w:val="2DD108DD"/>
    <w:rsid w:val="2DDFDE59"/>
    <w:rsid w:val="2E620E65"/>
    <w:rsid w:val="2E7190B4"/>
    <w:rsid w:val="2E923EA8"/>
    <w:rsid w:val="2ECBAC00"/>
    <w:rsid w:val="2EE67CE4"/>
    <w:rsid w:val="2EFECE9D"/>
    <w:rsid w:val="2F3194CF"/>
    <w:rsid w:val="2F92BEEA"/>
    <w:rsid w:val="3053B67D"/>
    <w:rsid w:val="307EFB78"/>
    <w:rsid w:val="30888C95"/>
    <w:rsid w:val="3141B6F9"/>
    <w:rsid w:val="3146B8AE"/>
    <w:rsid w:val="31961F35"/>
    <w:rsid w:val="3206EDFB"/>
    <w:rsid w:val="33DC7AA9"/>
    <w:rsid w:val="34139042"/>
    <w:rsid w:val="34270FDF"/>
    <w:rsid w:val="3435FB5A"/>
    <w:rsid w:val="3557C644"/>
    <w:rsid w:val="358A2952"/>
    <w:rsid w:val="361362AF"/>
    <w:rsid w:val="36247648"/>
    <w:rsid w:val="36931E56"/>
    <w:rsid w:val="36B8911E"/>
    <w:rsid w:val="37173BD4"/>
    <w:rsid w:val="37324721"/>
    <w:rsid w:val="3785AB12"/>
    <w:rsid w:val="378B80C1"/>
    <w:rsid w:val="37C046A9"/>
    <w:rsid w:val="3809E485"/>
    <w:rsid w:val="387D2B27"/>
    <w:rsid w:val="38A4248F"/>
    <w:rsid w:val="3959E2FD"/>
    <w:rsid w:val="399D1D21"/>
    <w:rsid w:val="39CD1805"/>
    <w:rsid w:val="3A1A8FE0"/>
    <w:rsid w:val="3A449278"/>
    <w:rsid w:val="3A73DE2A"/>
    <w:rsid w:val="3AE7D81B"/>
    <w:rsid w:val="3C17E82F"/>
    <w:rsid w:val="3C59B206"/>
    <w:rsid w:val="3CB6AEFB"/>
    <w:rsid w:val="3CE57E02"/>
    <w:rsid w:val="3CF94ACB"/>
    <w:rsid w:val="3D0AD641"/>
    <w:rsid w:val="3D3DFAE1"/>
    <w:rsid w:val="3F3393CB"/>
    <w:rsid w:val="3F7CF8EE"/>
    <w:rsid w:val="4010973A"/>
    <w:rsid w:val="4073A365"/>
    <w:rsid w:val="4107C583"/>
    <w:rsid w:val="41CEEE7A"/>
    <w:rsid w:val="43A1624B"/>
    <w:rsid w:val="440776A3"/>
    <w:rsid w:val="44776E71"/>
    <w:rsid w:val="4554B7F7"/>
    <w:rsid w:val="45732FB2"/>
    <w:rsid w:val="45AA077E"/>
    <w:rsid w:val="45C20E49"/>
    <w:rsid w:val="469194B3"/>
    <w:rsid w:val="46A3B4E2"/>
    <w:rsid w:val="46E178A4"/>
    <w:rsid w:val="46EB2829"/>
    <w:rsid w:val="47023369"/>
    <w:rsid w:val="475091AD"/>
    <w:rsid w:val="47A0E7F3"/>
    <w:rsid w:val="47CF09CD"/>
    <w:rsid w:val="47D09205"/>
    <w:rsid w:val="480A95CA"/>
    <w:rsid w:val="488277E2"/>
    <w:rsid w:val="497C962F"/>
    <w:rsid w:val="4A330557"/>
    <w:rsid w:val="4A432277"/>
    <w:rsid w:val="4A8AC0D9"/>
    <w:rsid w:val="4A957F6C"/>
    <w:rsid w:val="4AAC8752"/>
    <w:rsid w:val="4ADF4170"/>
    <w:rsid w:val="4AEF0A6A"/>
    <w:rsid w:val="4AF74307"/>
    <w:rsid w:val="4B0832C7"/>
    <w:rsid w:val="4B42368C"/>
    <w:rsid w:val="4B8D1730"/>
    <w:rsid w:val="4C071338"/>
    <w:rsid w:val="4C3F5C2F"/>
    <w:rsid w:val="4C4857B3"/>
    <w:rsid w:val="4D1A1343"/>
    <w:rsid w:val="4D5B8FB6"/>
    <w:rsid w:val="4DB64D01"/>
    <w:rsid w:val="4DEF63DC"/>
    <w:rsid w:val="4DF86F3E"/>
    <w:rsid w:val="4E427936"/>
    <w:rsid w:val="4E9E1803"/>
    <w:rsid w:val="4F324442"/>
    <w:rsid w:val="50450111"/>
    <w:rsid w:val="50608853"/>
    <w:rsid w:val="50A66A11"/>
    <w:rsid w:val="50AF26A2"/>
    <w:rsid w:val="50B1A9B6"/>
    <w:rsid w:val="5123B65C"/>
    <w:rsid w:val="515E3474"/>
    <w:rsid w:val="516419E7"/>
    <w:rsid w:val="5177744B"/>
    <w:rsid w:val="5183B5B1"/>
    <w:rsid w:val="51CD0CA5"/>
    <w:rsid w:val="51F008FE"/>
    <w:rsid w:val="51F4ED0E"/>
    <w:rsid w:val="5257E74F"/>
    <w:rsid w:val="52948C11"/>
    <w:rsid w:val="52BB0142"/>
    <w:rsid w:val="52F3E367"/>
    <w:rsid w:val="53A78CDA"/>
    <w:rsid w:val="53CB4DB5"/>
    <w:rsid w:val="53F3B7B0"/>
    <w:rsid w:val="551AD119"/>
    <w:rsid w:val="56841452"/>
    <w:rsid w:val="56C86514"/>
    <w:rsid w:val="5702EE77"/>
    <w:rsid w:val="57716C86"/>
    <w:rsid w:val="579D5AF5"/>
    <w:rsid w:val="57C46FCF"/>
    <w:rsid w:val="58290FE8"/>
    <w:rsid w:val="58D5C7EE"/>
    <w:rsid w:val="59EE423C"/>
    <w:rsid w:val="5A1FB6C9"/>
    <w:rsid w:val="5A3EE2E2"/>
    <w:rsid w:val="5A5D20C6"/>
    <w:rsid w:val="5AE84B54"/>
    <w:rsid w:val="5B2060A9"/>
    <w:rsid w:val="5B33C130"/>
    <w:rsid w:val="5BFF2FAD"/>
    <w:rsid w:val="5C3862C0"/>
    <w:rsid w:val="5C618F23"/>
    <w:rsid w:val="5C666903"/>
    <w:rsid w:val="5C7F9065"/>
    <w:rsid w:val="5CFC38C9"/>
    <w:rsid w:val="5D6F4976"/>
    <w:rsid w:val="5D713D31"/>
    <w:rsid w:val="5DCEC54D"/>
    <w:rsid w:val="5EF3BF3A"/>
    <w:rsid w:val="5F3091E9"/>
    <w:rsid w:val="5F882B72"/>
    <w:rsid w:val="5FFC5AE7"/>
    <w:rsid w:val="60CEC442"/>
    <w:rsid w:val="61CCE202"/>
    <w:rsid w:val="62732A85"/>
    <w:rsid w:val="62966A7C"/>
    <w:rsid w:val="629FB461"/>
    <w:rsid w:val="62A23670"/>
    <w:rsid w:val="639B28D3"/>
    <w:rsid w:val="64323ADD"/>
    <w:rsid w:val="64836ACE"/>
    <w:rsid w:val="65849EB4"/>
    <w:rsid w:val="6599AD08"/>
    <w:rsid w:val="659FD36D"/>
    <w:rsid w:val="65AF3404"/>
    <w:rsid w:val="65B1D74A"/>
    <w:rsid w:val="668AD4AA"/>
    <w:rsid w:val="66B9A47C"/>
    <w:rsid w:val="674A2904"/>
    <w:rsid w:val="67BF254C"/>
    <w:rsid w:val="68357B29"/>
    <w:rsid w:val="68506A62"/>
    <w:rsid w:val="6883B640"/>
    <w:rsid w:val="6914BBC8"/>
    <w:rsid w:val="6970C535"/>
    <w:rsid w:val="69E68A3B"/>
    <w:rsid w:val="6ADDD2A7"/>
    <w:rsid w:val="6B0F6821"/>
    <w:rsid w:val="6BCB809B"/>
    <w:rsid w:val="6C597FA7"/>
    <w:rsid w:val="6C655EAC"/>
    <w:rsid w:val="6C677083"/>
    <w:rsid w:val="6D0B8189"/>
    <w:rsid w:val="6D10A336"/>
    <w:rsid w:val="6D502E05"/>
    <w:rsid w:val="6D572763"/>
    <w:rsid w:val="6D5B3376"/>
    <w:rsid w:val="6D61CF12"/>
    <w:rsid w:val="6D827E81"/>
    <w:rsid w:val="6D939B16"/>
    <w:rsid w:val="6DE82CEB"/>
    <w:rsid w:val="6E1C6372"/>
    <w:rsid w:val="6E3F499F"/>
    <w:rsid w:val="6EC7FD18"/>
    <w:rsid w:val="6EF2F7C4"/>
    <w:rsid w:val="6F422AE9"/>
    <w:rsid w:val="700A598C"/>
    <w:rsid w:val="705B6591"/>
    <w:rsid w:val="708EC825"/>
    <w:rsid w:val="70CE756E"/>
    <w:rsid w:val="714E4220"/>
    <w:rsid w:val="71644D07"/>
    <w:rsid w:val="717A2E53"/>
    <w:rsid w:val="71BA8A42"/>
    <w:rsid w:val="71DB1B39"/>
    <w:rsid w:val="721A1106"/>
    <w:rsid w:val="727A9A0C"/>
    <w:rsid w:val="7298DD36"/>
    <w:rsid w:val="72D22D9E"/>
    <w:rsid w:val="72E3170A"/>
    <w:rsid w:val="7315FEB4"/>
    <w:rsid w:val="73AC86E4"/>
    <w:rsid w:val="74B23E54"/>
    <w:rsid w:val="75379577"/>
    <w:rsid w:val="757F4B46"/>
    <w:rsid w:val="7669760F"/>
    <w:rsid w:val="772A0B0C"/>
    <w:rsid w:val="7755044A"/>
    <w:rsid w:val="77CF593F"/>
    <w:rsid w:val="7809AAEC"/>
    <w:rsid w:val="783AF170"/>
    <w:rsid w:val="78C30A31"/>
    <w:rsid w:val="78D9889F"/>
    <w:rsid w:val="79ED9C52"/>
    <w:rsid w:val="79F40D51"/>
    <w:rsid w:val="7A7D3BA8"/>
    <w:rsid w:val="7BA14A89"/>
    <w:rsid w:val="7BBD0080"/>
    <w:rsid w:val="7BDFA995"/>
    <w:rsid w:val="7C13FDE4"/>
    <w:rsid w:val="7C55B9A7"/>
    <w:rsid w:val="7CBD5039"/>
    <w:rsid w:val="7CC67747"/>
    <w:rsid w:val="7D4C92AC"/>
    <w:rsid w:val="7D72C29E"/>
    <w:rsid w:val="7DBD27A6"/>
    <w:rsid w:val="7DC8F6A2"/>
    <w:rsid w:val="7DFE3235"/>
    <w:rsid w:val="7E0ABB5E"/>
    <w:rsid w:val="7F070C5E"/>
    <w:rsid w:val="7F85A26B"/>
    <w:rsid w:val="7F9CE101"/>
    <w:rsid w:val="7FA3A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C2EB9B"/>
  <w15:docId w15:val="{7DA48155-BCFF-471E-8703-5B42B845BE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Cambria" w:cs="Cambri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15574C13"/>
    <w:rPr>
      <w:noProof w:val="0"/>
      <w:lang w:val="es-MX" w:eastAsia="en-US"/>
    </w:rPr>
    <w:pPr>
      <w:spacing w:line="1" w:lineRule="atLeast"/>
      <w:ind w:left="-1" w:hanging="1"/>
      <w:outlineLvl w:val="0"/>
    </w:pPr>
  </w:style>
  <w:style w:type="paragraph" w:styleId="Ttulo1">
    <w:uiPriority w:val="9"/>
    <w:name w:val="heading 1"/>
    <w:basedOn w:val="Normal"/>
    <w:next w:val="Normal"/>
    <w:qFormat/>
    <w:rsid w:val="15574C13"/>
    <w:rPr>
      <w:b w:val="1"/>
      <w:bCs w:val="1"/>
      <w:sz w:val="48"/>
      <w:szCs w:val="48"/>
    </w:rPr>
    <w:pPr>
      <w:keepNext w:val="1"/>
      <w:keepLines w:val="1"/>
      <w:spacing w:before="480" w:after="120"/>
    </w:pPr>
  </w:style>
  <w:style w:type="paragraph" w:styleId="Ttulo2">
    <w:uiPriority w:val="9"/>
    <w:name w:val="heading 2"/>
    <w:basedOn w:val="Normal"/>
    <w:next w:val="Normal"/>
    <w:semiHidden/>
    <w:unhideWhenUsed/>
    <w:qFormat/>
    <w:rsid w:val="15574C13"/>
    <w:rPr>
      <w:b w:val="1"/>
      <w:bCs w:val="1"/>
      <w:sz w:val="36"/>
      <w:szCs w:val="36"/>
    </w:rPr>
    <w:pPr>
      <w:keepNext w:val="1"/>
      <w:keepLines w:val="1"/>
      <w:spacing w:before="360" w:after="80"/>
      <w:outlineLvl w:val="1"/>
    </w:pPr>
  </w:style>
  <w:style w:type="paragraph" w:styleId="Ttulo3">
    <w:uiPriority w:val="9"/>
    <w:name w:val="heading 3"/>
    <w:basedOn w:val="Normal"/>
    <w:semiHidden/>
    <w:unhideWhenUsed/>
    <w:qFormat/>
    <w:rsid w:val="15574C13"/>
    <w:rPr>
      <w:rFonts w:ascii="Times" w:hAnsi="Times" w:eastAsia="Cambria" w:cs="Cambria"/>
      <w:b w:val="1"/>
      <w:bCs w:val="1"/>
      <w:sz w:val="27"/>
      <w:szCs w:val="27"/>
      <w:lang w:val="es-ES"/>
    </w:rPr>
    <w:pPr>
      <w:spacing w:beforeAutospacing="on" w:afterAutospacing="on"/>
      <w:outlineLvl w:val="2"/>
    </w:pPr>
  </w:style>
  <w:style w:type="paragraph" w:styleId="Ttulo4">
    <w:uiPriority w:val="9"/>
    <w:name w:val="heading 4"/>
    <w:basedOn w:val="Normal"/>
    <w:next w:val="Normal"/>
    <w:semiHidden/>
    <w:unhideWhenUsed/>
    <w:qFormat/>
    <w:rsid w:val="15574C13"/>
    <w:rPr>
      <w:b w:val="1"/>
      <w:bCs w:val="1"/>
    </w:rPr>
    <w:pPr>
      <w:keepNext w:val="1"/>
      <w:keepLines w:val="1"/>
      <w:spacing w:before="240" w:after="40"/>
      <w:outlineLvl w:val="3"/>
    </w:pPr>
  </w:style>
  <w:style w:type="paragraph" w:styleId="Ttulo5">
    <w:uiPriority w:val="9"/>
    <w:name w:val="heading 5"/>
    <w:basedOn w:val="Normal"/>
    <w:next w:val="Normal"/>
    <w:semiHidden/>
    <w:unhideWhenUsed/>
    <w:qFormat/>
    <w:rsid w:val="15574C13"/>
    <w:rPr>
      <w:b w:val="1"/>
      <w:bCs w:val="1"/>
      <w:sz w:val="22"/>
      <w:szCs w:val="22"/>
    </w:rPr>
    <w:pPr>
      <w:keepNext w:val="1"/>
      <w:keepLines w:val="1"/>
      <w:spacing w:before="220" w:after="40"/>
      <w:outlineLvl w:val="4"/>
    </w:pPr>
  </w:style>
  <w:style w:type="paragraph" w:styleId="Ttulo6">
    <w:uiPriority w:val="9"/>
    <w:name w:val="heading 6"/>
    <w:basedOn w:val="Normal"/>
    <w:next w:val="Normal"/>
    <w:semiHidden/>
    <w:unhideWhenUsed/>
    <w:qFormat/>
    <w:rsid w:val="15574C13"/>
    <w:rPr>
      <w:b w:val="1"/>
      <w:bCs w:val="1"/>
      <w:sz w:val="20"/>
      <w:szCs w:val="20"/>
    </w:rPr>
    <w:pPr>
      <w:keepNext w:val="1"/>
      <w:keepLines w:val="1"/>
      <w:spacing w:before="200" w:after="40"/>
      <w:outlineLvl w:val="5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uiPriority w:val="10"/>
    <w:name w:val="Title"/>
    <w:basedOn w:val="Normal"/>
    <w:next w:val="Normal"/>
    <w:qFormat/>
    <w:rsid w:val="15574C13"/>
    <w:rPr>
      <w:b w:val="1"/>
      <w:bCs w:val="1"/>
      <w:sz w:val="72"/>
      <w:szCs w:val="72"/>
    </w:rPr>
    <w:pPr>
      <w:keepNext w:val="1"/>
      <w:keepLines w:val="1"/>
      <w:spacing w:before="480" w:after="120"/>
    </w:p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1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" w:customStyle="1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" w:customStyle="1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" w:customStyle="1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" w:customStyle="1">
    <w:name w:val="Table Normal8"/>
    <w:next w:val="TableNormal8"/>
    <w:qFormat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uiPriority w:val="1"/>
    <w:name w:val="header"/>
    <w:basedOn w:val="Normal"/>
    <w:qFormat/>
    <w:rsid w:val="15574C13"/>
    <w:pPr>
      <w:tabs>
        <w:tab w:val="center" w:leader="none" w:pos="4153"/>
        <w:tab w:val="right" w:leader="none" w:pos="8306"/>
      </w:tabs>
    </w:p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Piedepgina">
    <w:uiPriority w:val="1"/>
    <w:name w:val="footer"/>
    <w:basedOn w:val="Normal"/>
    <w:qFormat/>
    <w:rsid w:val="15574C13"/>
    <w:pPr>
      <w:tabs>
        <w:tab w:val="center" w:leader="none" w:pos="4153"/>
        <w:tab w:val="right" w:leader="none" w:pos="8306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uiPriority w:val="1"/>
    <w:name w:val="Balloon Text"/>
    <w:basedOn w:val="Normal"/>
    <w:qFormat/>
    <w:rsid w:val="15574C13"/>
    <w:rPr>
      <w:rFonts w:ascii="Lucida Grande" w:hAnsi="Lucida Grande" w:eastAsia="Cambria" w:cs="Lucida Grande"/>
      <w:sz w:val="18"/>
      <w:szCs w:val="18"/>
    </w:rPr>
  </w:style>
  <w:style w:type="character" w:styleId="BalloonTextChar" w:customStyle="1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Reference" w:customStyle="1">
    <w:name w:val="Comment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 w:customStyle="true">
    <w:uiPriority w:val="1"/>
    <w:name w:val="Comment Text"/>
    <w:basedOn w:val="Normal"/>
    <w:qFormat/>
    <w:rsid w:val="15574C13"/>
  </w:style>
  <w:style w:type="character" w:styleId="CommentTextChar" w:customStyle="1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entSubject" w:customStyle="true">
    <w:uiPriority w:val="1"/>
    <w:name w:val="Comment Subject"/>
    <w:basedOn w:val="CommentText"/>
    <w:next w:val="CommentText"/>
    <w:qFormat/>
    <w:rsid w:val="15574C13"/>
    <w:rPr>
      <w:b w:val="1"/>
      <w:bCs w:val="1"/>
      <w:sz w:val="20"/>
      <w:szCs w:val="20"/>
    </w:rPr>
  </w:style>
  <w:style w:type="character" w:styleId="CommentSubjectChar" w:customStyle="1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" w:customStyle="true">
    <w:uiPriority w:val="1"/>
    <w:name w:val="text"/>
    <w:basedOn w:val="Normal"/>
    <w:rsid w:val="15574C13"/>
    <w:rPr>
      <w:rFonts w:ascii="Times" w:hAnsi="Times" w:eastAsia="Cambria" w:cs="Cambria"/>
      <w:sz w:val="20"/>
      <w:szCs w:val="20"/>
    </w:rPr>
    <w:pPr>
      <w:spacing w:beforeAutospacing="on" w:afterAutospacing="on"/>
    </w:p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eading3Char" w:customStyle="1">
    <w:name w:val="Heading 3 Char"/>
    <w:rPr>
      <w:rFonts w:ascii="Times" w:hAnsi="Times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NormalWeb">
    <w:uiPriority w:val="1"/>
    <w:name w:val="Normal (Web)"/>
    <w:basedOn w:val="Normal"/>
    <w:qFormat/>
    <w:rsid w:val="15574C13"/>
    <w:rPr>
      <w:rFonts w:ascii="Times" w:hAnsi="Times" w:eastAsia="Cambria" w:cs="Cambria"/>
      <w:sz w:val="20"/>
      <w:szCs w:val="20"/>
      <w:lang w:val="es-ES"/>
    </w:rPr>
    <w:pPr>
      <w:spacing w:beforeAutospacing="on" w:afterAutospacing="on"/>
    </w:pPr>
  </w:style>
  <w:style w:type="paragraph" w:styleId="Subttulo">
    <w:uiPriority w:val="11"/>
    <w:name w:val="Subtitle"/>
    <w:basedOn w:val="Normal"/>
    <w:next w:val="Normal"/>
    <w:qFormat/>
    <w:rsid w:val="15574C13"/>
    <w:rPr>
      <w:rFonts w:ascii="Georgia" w:hAnsi="Georgia" w:eastAsia="Georgia" w:cs="Georgia"/>
      <w:i w:val="1"/>
      <w:iCs w:val="1"/>
      <w:color w:val="666666"/>
      <w:sz w:val="48"/>
      <w:szCs w:val="48"/>
    </w:rPr>
    <w:pPr>
      <w:keepNext w:val="1"/>
      <w:keepLines w:val="1"/>
      <w:spacing w:before="360" w:after="80"/>
    </w:pPr>
  </w:style>
  <w:style w:type="table" w:styleId="a" w:customStyle="1">
    <w:basedOn w:val="TableNormal9"/>
    <w:tblPr>
      <w:tblStyleRowBandSize w:val="1"/>
      <w:tblStyleColBandSize w:val="1"/>
    </w:tblPr>
  </w:style>
  <w:style w:type="table" w:styleId="a0" w:customStyle="1">
    <w:basedOn w:val="TableNormal9"/>
    <w:tblPr>
      <w:tblStyleRowBandSize w:val="1"/>
      <w:tblStyleColBandSize w:val="1"/>
    </w:tblPr>
  </w:style>
  <w:style w:type="table" w:styleId="a1" w:customStyle="1">
    <w:basedOn w:val="TableNormal9"/>
    <w:tblPr>
      <w:tblStyleRowBandSize w:val="1"/>
      <w:tblStyleColBandSize w:val="1"/>
    </w:tblPr>
  </w:style>
  <w:style w:type="table" w:styleId="a2" w:customStyle="1">
    <w:basedOn w:val="TableNormal9"/>
    <w:tblPr>
      <w:tblStyleRowBandSize w:val="1"/>
      <w:tblStyleColBandSize w:val="1"/>
    </w:tblPr>
  </w:style>
  <w:style w:type="table" w:styleId="a3" w:customStyle="1">
    <w:basedOn w:val="TableNormal9"/>
    <w:tblPr>
      <w:tblStyleRowBandSize w:val="1"/>
      <w:tblStyleColBandSize w:val="1"/>
    </w:tblPr>
  </w:style>
  <w:style w:type="table" w:styleId="a4" w:customStyle="1">
    <w:basedOn w:val="TableNormal9"/>
    <w:tblPr>
      <w:tblStyleRowBandSize w:val="1"/>
      <w:tblStyleColBandSize w:val="1"/>
    </w:tblPr>
  </w:style>
  <w:style w:type="table" w:styleId="a5" w:customStyle="1">
    <w:basedOn w:val="TableNormal9"/>
    <w:tblPr>
      <w:tblStyleRowBandSize w:val="1"/>
      <w:tblStyleColBandSize w:val="1"/>
    </w:tblPr>
  </w:style>
  <w:style w:type="table" w:styleId="a6" w:customStyle="1">
    <w:basedOn w:val="TableNormal9"/>
    <w:tblPr>
      <w:tblStyleRowBandSize w:val="1"/>
      <w:tblStyleColBandSize w:val="1"/>
    </w:tblPr>
  </w:style>
  <w:style w:type="table" w:styleId="a7" w:customStyle="1">
    <w:basedOn w:val="TableNormal9"/>
    <w:tblPr>
      <w:tblStyleRowBandSize w:val="1"/>
      <w:tblStyleColBandSize w:val="1"/>
    </w:tblPr>
  </w:style>
  <w:style w:type="table" w:styleId="a8" w:customStyle="1">
    <w:basedOn w:val="TableNormal9"/>
    <w:tblPr>
      <w:tblStyleRowBandSize w:val="1"/>
      <w:tblStyleColBandSize w:val="1"/>
    </w:tblPr>
  </w:style>
  <w:style w:type="paragraph" w:styleId="ListParagraph">
    <w:uiPriority w:val="34"/>
    <w:name w:val="List Paragraph"/>
    <w:basedOn w:val="Normal"/>
    <w:qFormat/>
    <w:rsid w:val="15574C13"/>
    <w:pPr>
      <w:spacing/>
      <w:ind w:left="720"/>
      <w:contextualSpacing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5574C13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5574C13"/>
    <w:rPr>
      <w:rFonts w:ascii="Calibri" w:hAnsi="Calibri" w:eastAsia="ＭＳ ゴシック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5574C13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Quote">
    <w:uiPriority w:val="29"/>
    <w:name w:val="Quote"/>
    <w:basedOn w:val="Normal"/>
    <w:next w:val="Normal"/>
    <w:link w:val="QuoteChar"/>
    <w:qFormat/>
    <w:rsid w:val="15574C13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5574C13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7Char" w:customStyle="true">
    <w:uiPriority w:val="9"/>
    <w:name w:val="Heading 7 Char"/>
    <w:basedOn w:val="Fuentedeprrafopredeter"/>
    <w:link w:val="Heading7"/>
    <w:rsid w:val="15574C13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43F60"/>
      <w:lang w:val="es-MX"/>
    </w:rPr>
  </w:style>
  <w:style w:type="character" w:styleId="Heading8Char" w:customStyle="true">
    <w:uiPriority w:val="9"/>
    <w:name w:val="Heading 8 Char"/>
    <w:basedOn w:val="Fuentedeprrafopredeter"/>
    <w:link w:val="Heading8"/>
    <w:rsid w:val="15574C13"/>
    <w:rPr>
      <w:rFonts w:ascii="Calibri" w:hAnsi="Calibri" w:eastAsia="ＭＳ ゴシック" w:cs="Times New Roman" w:asciiTheme="majorAscii" w:hAnsiTheme="majorAscii" w:eastAsiaTheme="majorEastAsia" w:cstheme="majorBidi"/>
      <w:noProof w:val="0"/>
      <w:color w:val="272727"/>
      <w:sz w:val="21"/>
      <w:szCs w:val="21"/>
      <w:lang w:val="es-MX"/>
    </w:rPr>
  </w:style>
  <w:style w:type="character" w:styleId="Heading9Char" w:customStyle="true">
    <w:uiPriority w:val="9"/>
    <w:name w:val="Heading 9 Char"/>
    <w:basedOn w:val="Fuentedeprrafopredeter"/>
    <w:link w:val="Heading9"/>
    <w:rsid w:val="15574C13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MX"/>
    </w:rPr>
  </w:style>
  <w:style w:type="character" w:styleId="QuoteChar" w:customStyle="true">
    <w:uiPriority w:val="29"/>
    <w:name w:val="Quote Char"/>
    <w:basedOn w:val="Fuentedeprrafopredeter"/>
    <w:link w:val="Quote"/>
    <w:rsid w:val="15574C13"/>
    <w:rPr>
      <w:i w:val="1"/>
      <w:iCs w:val="1"/>
      <w:noProof w:val="0"/>
      <w:color w:val="404040" w:themeColor="text1" w:themeTint="BF" w:themeShade="FF"/>
      <w:lang w:val="es-MX"/>
    </w:rPr>
  </w:style>
  <w:style w:type="character" w:styleId="IntenseQuoteChar" w:customStyle="true">
    <w:uiPriority w:val="30"/>
    <w:name w:val="Intense Quote Char"/>
    <w:basedOn w:val="Fuentedeprrafopredeter"/>
    <w:link w:val="IntenseQuote"/>
    <w:rsid w:val="15574C13"/>
    <w:rPr>
      <w:i w:val="1"/>
      <w:iCs w:val="1"/>
      <w:noProof w:val="0"/>
      <w:color w:val="4F81BD" w:themeColor="accent1" w:themeTint="FF" w:themeShade="FF"/>
      <w:lang w:val="es-MX"/>
    </w:rPr>
  </w:style>
  <w:style w:type="paragraph" w:styleId="TOC1">
    <w:uiPriority w:val="39"/>
    <w:name w:val="toc 1"/>
    <w:basedOn w:val="Normal"/>
    <w:next w:val="Normal"/>
    <w:unhideWhenUsed/>
    <w:rsid w:val="15574C13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5574C13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5574C13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5574C13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5574C13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5574C13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5574C13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5574C13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5574C13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5574C13"/>
    <w:rPr>
      <w:sz w:val="20"/>
      <w:szCs w:val="20"/>
    </w:rPr>
    <w:pPr>
      <w:spacing w:after="0" w:line="240" w:lineRule="auto"/>
    </w:pPr>
  </w:style>
  <w:style w:type="character" w:styleId="EndnoteTextChar" w:customStyle="true">
    <w:uiPriority w:val="99"/>
    <w:name w:val="Endnote Text Char"/>
    <w:basedOn w:val="Fuentedeprrafopredeter"/>
    <w:semiHidden/>
    <w:link w:val="EndnoteText"/>
    <w:rsid w:val="15574C13"/>
    <w:rPr>
      <w:noProof w:val="0"/>
      <w:sz w:val="20"/>
      <w:szCs w:val="20"/>
      <w:lang w:val="es-MX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5574C13"/>
    <w:rPr>
      <w:sz w:val="20"/>
      <w:szCs w:val="20"/>
    </w:rPr>
    <w:pPr>
      <w:spacing w:after="0" w:line="240" w:lineRule="auto"/>
    </w:pPr>
  </w:style>
  <w:style w:type="character" w:styleId="FootnoteTextChar" w:customStyle="true">
    <w:uiPriority w:val="99"/>
    <w:name w:val="Footnote Text Char"/>
    <w:basedOn w:val="Fuentedeprrafopredeter"/>
    <w:semiHidden/>
    <w:link w:val="FootnoteText"/>
    <w:rsid w:val="15574C13"/>
    <w:rPr>
      <w:noProof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microsoft.com/office/2020/10/relationships/intelligence" Target="intelligence2.xml" Id="R9b71315de52d4e61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numbering" Target="numbering.xml" Id="R7e7b883a64974ab0" /><Relationship Type="http://schemas.openxmlformats.org/officeDocument/2006/relationships/hyperlink" Target="https://themacallan.com/" TargetMode="External" Id="R9d0bf54ecb2745fa" /><Relationship Type="http://schemas.openxmlformats.org/officeDocument/2006/relationships/hyperlink" Target="http://www.themacallan.com/" TargetMode="External" Id="Raeebcb5a645c430e" /><Relationship Type="http://schemas.openxmlformats.org/officeDocument/2006/relationships/hyperlink" Target="mailto:yahel.perez@another.co" TargetMode="External" Id="R87b378810055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c7a18a728b6049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A2i+A7cZEdxVbNli63biJSTmA==">CgMxLjA4AHIhMThwYzY2Mm1vZTdQZktPQWwyWHRQVmsyNmMyNG1adWxI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48267D95A1048B13C28819BB9078C" ma:contentTypeVersion="15" ma:contentTypeDescription="Create a new document." ma:contentTypeScope="" ma:versionID="194f40f0b3dda9ed12e7c33fd76308d4">
  <xsd:schema xmlns:xsd="http://www.w3.org/2001/XMLSchema" xmlns:xs="http://www.w3.org/2001/XMLSchema" xmlns:p="http://schemas.microsoft.com/office/2006/metadata/properties" xmlns:ns2="c17b3a32-f5e3-4764-aada-787a3dabcbc4" xmlns:ns3="d79d26c2-8d13-474d-b244-4901bda7f19d" targetNamespace="http://schemas.microsoft.com/office/2006/metadata/properties" ma:root="true" ma:fieldsID="6dff8f031462ba8fe027467cdf3a4c99" ns2:_="" ns3:_="">
    <xsd:import namespace="c17b3a32-f5e3-4764-aada-787a3dabcbc4"/>
    <xsd:import namespace="d79d26c2-8d13-474d-b244-4901bda7f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b3a32-f5e3-4764-aada-787a3dabc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26c2-8d13-474d-b244-4901bda7f1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5369c3-7c70-4583-ad93-3087fcc77386}" ma:internalName="TaxCatchAll" ma:showField="CatchAllData" ma:web="d79d26c2-8d13-474d-b244-4901bda7f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d26c2-8d13-474d-b244-4901bda7f19d" xsi:nil="true"/>
    <lcf76f155ced4ddcb4097134ff3c332f xmlns="c17b3a32-f5e3-4764-aada-787a3dabcbc4">
      <Terms xmlns="http://schemas.microsoft.com/office/infopath/2007/PartnerControls"/>
    </lcf76f155ced4ddcb4097134ff3c332f>
    <SharedWithUsers xmlns="d79d26c2-8d13-474d-b244-4901bda7f19d">
      <UserInfo>
        <DisplayName>Adrían Avila López</DisplayName>
        <AccountId>65</AccountId>
        <AccountType/>
      </UserInfo>
      <UserInfo>
        <DisplayName>Marina Coloapa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9F6AFD0-8642-42AC-B800-67A92E8690D7}"/>
</file>

<file path=customXml/itemProps3.xml><?xml version="1.0" encoding="utf-8"?>
<ds:datastoreItem xmlns:ds="http://schemas.openxmlformats.org/officeDocument/2006/customXml" ds:itemID="{A5442CDD-5420-41C2-9CDB-CF19B7CF004A}"/>
</file>

<file path=customXml/itemProps4.xml><?xml version="1.0" encoding="utf-8"?>
<ds:datastoreItem xmlns:ds="http://schemas.openxmlformats.org/officeDocument/2006/customXml" ds:itemID="{EC965FA5-6463-450E-93EC-2DE0D8DAED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Gabriela Alvarado Vazquez Del Mercado</dc:creator>
  <lastModifiedBy>Marina Coloapa</lastModifiedBy>
  <revision>18</revision>
  <dcterms:created xsi:type="dcterms:W3CDTF">2024-01-31T22:02:00.0000000Z</dcterms:created>
  <dcterms:modified xsi:type="dcterms:W3CDTF">2024-05-30T20:20:25.9495143Z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0x01010075048267D95A1048B13C28819BB9078C</vt:lpwstr>
  </property>
  <property fmtid="{D5CDD505-2E9C-101B-9397-08002B2CF9AE}" pid="3" name="MediaServiceImageTags">
    <vt:lpwstr/>
  </property>
</Properties>
</file>